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5A6A1230"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B2193A" w:rsidRPr="00B2193A">
        <w:rPr>
          <w:b/>
          <w:bCs/>
          <w:color w:val="auto"/>
        </w:rPr>
        <w:t>3.2-5/25/231-1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0FEA8561" w:rsidR="00F064EC" w:rsidRDefault="00B2193A" w:rsidP="00F064EC">
      <w:pPr>
        <w:pStyle w:val="Default"/>
        <w:jc w:val="both"/>
      </w:pPr>
      <w:sdt>
        <w:sdtPr>
          <w:rPr>
            <w:color w:val="auto"/>
          </w:rPr>
          <w:id w:val="-1382546519"/>
          <w:placeholder>
            <w:docPart w:val="7E1E15DD0478466EA495CED4F6D72064"/>
          </w:placeholder>
        </w:sdtPr>
        <w:sdtEndPr/>
        <w:sdtContent>
          <w:r w:rsidR="007D166E" w:rsidRPr="007D166E">
            <w:rPr>
              <w:b/>
              <w:bCs/>
              <w:color w:val="auto"/>
            </w:rPr>
            <w:t xml:space="preserve">OÜ </w:t>
          </w:r>
          <w:proofErr w:type="spellStart"/>
          <w:r w:rsidR="007D166E" w:rsidRPr="007D166E">
            <w:rPr>
              <w:b/>
              <w:bCs/>
              <w:color w:val="auto"/>
            </w:rPr>
            <w:t>Demontering</w:t>
          </w:r>
          <w:proofErr w:type="spellEnd"/>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7D166E" w:rsidRPr="007D166E">
            <w:rPr>
              <w:color w:val="auto"/>
            </w:rPr>
            <w:t>11074556</w:t>
          </w:r>
        </w:sdtContent>
      </w:sdt>
      <w:r w:rsidR="007F76C2">
        <w:rPr>
          <w:color w:val="auto"/>
        </w:rPr>
        <w:t>,</w:t>
      </w:r>
      <w:r w:rsidR="00F064EC">
        <w:rPr>
          <w:color w:val="auto"/>
        </w:rPr>
        <w:t xml:space="preserve"> asukohaga</w:t>
      </w:r>
      <w:r w:rsidR="000B4050">
        <w:rPr>
          <w:color w:val="auto"/>
        </w:rPr>
        <w:t xml:space="preserve"> </w:t>
      </w:r>
      <w:sdt>
        <w:sdtPr>
          <w:id w:val="1402100198"/>
          <w:placeholder>
            <w:docPart w:val="33FED0B71FCA40EE897C137D2FB80B48"/>
          </w:placeholder>
          <w:text/>
        </w:sdtPr>
        <w:sdtEndPr/>
        <w:sdtContent>
          <w:r w:rsidR="007D166E" w:rsidRPr="007D166E">
            <w:t>Vahi küla, Harku vald, Harjumaa 76903</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highlight w:val="yellow"/>
          </w:rPr>
          <w:id w:val="-1650047727"/>
          <w:placeholder>
            <w:docPart w:val="DefaultPlaceholder_-1854013440"/>
          </w:placeholder>
        </w:sdtPr>
        <w:sdtEndPr>
          <w:rPr>
            <w:highlight w:val="none"/>
          </w:rPr>
        </w:sdtEndPr>
        <w:sdtContent>
          <w:sdt>
            <w:sdtPr>
              <w:rPr>
                <w:color w:val="auto"/>
                <w:highlight w:val="yellow"/>
              </w:rPr>
              <w:id w:val="-129329582"/>
              <w:placeholder>
                <w:docPart w:val="3AD7EF775E094AF79468BE6AA4D7CC3B"/>
              </w:placeholder>
            </w:sdtPr>
            <w:sdtEndPr>
              <w:rPr>
                <w:highlight w:val="none"/>
              </w:rPr>
            </w:sdtEndPr>
            <w:sdtContent>
              <w:sdt>
                <w:sdtPr>
                  <w:id w:val="-593937437"/>
                  <w:placeholder>
                    <w:docPart w:val="B03F5D0A244D474EB2B7D3B5133534AE"/>
                  </w:placeholder>
                  <w:text/>
                </w:sdtPr>
                <w:sdtEndPr/>
                <w:sdtContent>
                  <w:r w:rsidR="007D166E" w:rsidRPr="007D166E">
                    <w:t>Sven Kimmel</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234C35EC"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F048D2">
            <w:rPr>
              <w:color w:val="auto"/>
            </w:rPr>
            <w:t xml:space="preserve">tootjate poolses tarkvaras varuosade info tuvastamiseks. </w:t>
          </w:r>
          <w:r w:rsidR="00F048D2">
            <w:t>VIN-koodi kasutatakse sõiduki</w:t>
          </w:r>
          <w:r w:rsidR="00F048D2" w:rsidRPr="00687BFA">
            <w:t> mudeli modifikatsioonikohaste varuosade leidmiseks.</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0628A6D3"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7D166E">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2ED0FCF1"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7D166E">
            <w:rPr>
              <w:b/>
              <w:bCs/>
              <w:color w:val="auto"/>
            </w:rPr>
            <w:t>ükssada kakskümmend viis (125)</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w:t>
      </w:r>
      <w:proofErr w:type="spellStart"/>
      <w:r w:rsidRPr="00F26B29">
        <w:rPr>
          <w:rStyle w:val="normaltextrun"/>
          <w:color w:val="auto"/>
        </w:rPr>
        <w:t>e-arvena</w:t>
      </w:r>
      <w:proofErr w:type="spellEnd"/>
      <w:r w:rsidRPr="00F26B29">
        <w:rPr>
          <w:rStyle w:val="normaltextrun"/>
          <w:color w:val="auto"/>
        </w:rPr>
        <w:t xml:space="preserve">,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täitmisega seotud isikuandmete töötlemisel tuleb rakendada asjakohaseid tehnilisi ja </w:t>
      </w:r>
      <w:proofErr w:type="spellStart"/>
      <w:r w:rsidRPr="00F26B29">
        <w:rPr>
          <w:rFonts w:ascii="Times New Roman" w:hAnsi="Times New Roman" w:cs="Times New Roman"/>
          <w:sz w:val="24"/>
          <w:szCs w:val="24"/>
        </w:rPr>
        <w:t>korralduslikke</w:t>
      </w:r>
      <w:proofErr w:type="spellEnd"/>
      <w:r w:rsidRPr="00F26B29">
        <w:rPr>
          <w:rFonts w:ascii="Times New Roman" w:hAnsi="Times New Roman" w:cs="Times New Roman"/>
          <w:sz w:val="24"/>
          <w:szCs w:val="24"/>
        </w:rPr>
        <w:t xml:space="preserv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proofErr w:type="spellStart"/>
      <w:r w:rsidRPr="00F26B29">
        <w:rPr>
          <w:rFonts w:ascii="Times New Roman" w:hAnsi="Times New Roman"/>
          <w:sz w:val="24"/>
          <w:szCs w:val="24"/>
        </w:rPr>
        <w:t>Pooltevahelised</w:t>
      </w:r>
      <w:proofErr w:type="spellEnd"/>
      <w:r w:rsidRPr="00F26B29">
        <w:rPr>
          <w:rFonts w:ascii="Times New Roman" w:hAnsi="Times New Roman"/>
          <w:sz w:val="24"/>
          <w:szCs w:val="24"/>
        </w:rPr>
        <w:t xml:space="preserve">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 xml:space="preserve">Poolel on õigus leping erakorraliselt sellest </w:t>
      </w:r>
      <w:proofErr w:type="spellStart"/>
      <w:r w:rsidRPr="00F26B29">
        <w:rPr>
          <w:color w:val="auto"/>
        </w:rPr>
        <w:t>etteteatamata</w:t>
      </w:r>
      <w:proofErr w:type="spellEnd"/>
      <w:r w:rsidRPr="00F26B29">
        <w:rPr>
          <w:color w:val="auto"/>
        </w:rPr>
        <w:t xml:space="preserve">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proofErr w:type="spellStart"/>
      <w:r w:rsidRPr="00F26B29">
        <w:rPr>
          <w:color w:val="auto"/>
        </w:rPr>
        <w:t>Pooltevaheline</w:t>
      </w:r>
      <w:proofErr w:type="spellEnd"/>
      <w:r w:rsidRPr="00F26B29">
        <w:rPr>
          <w:color w:val="auto"/>
        </w:rPr>
        <w:t xml:space="preserv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3"/>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707D3915"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r w:rsidR="007D166E">
            <w:rPr>
              <w:rFonts w:eastAsia="Times New Roman"/>
            </w:rPr>
            <w:t>Sven Kimmel</w:t>
          </w:r>
        </w:sdtContent>
      </w:sdt>
    </w:p>
    <w:p w14:paraId="54F5F14E" w14:textId="0B3A1897"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sdt>
            <w:sdtPr>
              <w:rPr>
                <w:color w:val="auto"/>
              </w:rPr>
              <w:id w:val="-802459601"/>
              <w:placeholder>
                <w:docPart w:val="53A4550039FD44B5B11C07A2E2F41C1B"/>
              </w:placeholder>
            </w:sdtPr>
            <w:sdtEndPr/>
            <w:sdtContent>
              <w:r w:rsidR="007D166E" w:rsidRPr="007D166E">
                <w:rPr>
                  <w:color w:val="auto"/>
                </w:rPr>
                <w:t>5551</w:t>
              </w:r>
              <w:r w:rsidR="007D166E">
                <w:rPr>
                  <w:color w:val="auto"/>
                </w:rPr>
                <w:t xml:space="preserve"> </w:t>
              </w:r>
              <w:r w:rsidR="007D166E" w:rsidRPr="007D166E">
                <w:rPr>
                  <w:color w:val="auto"/>
                </w:rPr>
                <w:t>0718</w:t>
              </w:r>
            </w:sdtContent>
          </w:sdt>
        </w:sdtContent>
      </w:sdt>
    </w:p>
    <w:p w14:paraId="332A655C" w14:textId="52A28C73"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hyperlink r:id="rId12" w:history="1">
            <w:r w:rsidR="007D166E" w:rsidRPr="00ED3273">
              <w:rPr>
                <w:rStyle w:val="Hperlink"/>
                <w:rFonts w:eastAsia="Times New Roman"/>
              </w:rPr>
              <w:t>sven@demontering.ee</w:t>
            </w:r>
          </w:hyperlink>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7BCB336B"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108317325"/>
              <w:placeholder>
                <w:docPart w:val="6C64C6673BB24B01B5FA4BE239FAF240"/>
              </w:placeholder>
            </w:sdtPr>
            <w:sdtEndPr/>
            <w:sdtContent>
              <w:r w:rsidR="007D166E" w:rsidRPr="007D166E">
                <w:rPr>
                  <w:color w:val="auto"/>
                </w:rPr>
                <w:t xml:space="preserve">OÜ </w:t>
              </w:r>
              <w:proofErr w:type="spellStart"/>
              <w:r w:rsidR="007D166E" w:rsidRPr="007D166E">
                <w:rPr>
                  <w:color w:val="auto"/>
                </w:rPr>
                <w:t>Demontering</w:t>
              </w:r>
              <w:proofErr w:type="spellEnd"/>
            </w:sdtContent>
          </w:sdt>
        </w:sdtContent>
      </w:sdt>
    </w:p>
    <w:p w14:paraId="07B20964" w14:textId="500BD3A8"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1708219798"/>
              <w:placeholder>
                <w:docPart w:val="368CF01DB3334F3CA34EB8B37046FF41"/>
              </w:placeholder>
              <w:text/>
            </w:sdtPr>
            <w:sdtEndPr/>
            <w:sdtContent>
              <w:r w:rsidR="007D166E" w:rsidRPr="007D166E">
                <w:rPr>
                  <w:color w:val="auto"/>
                </w:rPr>
                <w:t>11074556</w:t>
              </w:r>
            </w:sdtContent>
          </w:sdt>
        </w:sdtContent>
      </w:sdt>
    </w:p>
    <w:p w14:paraId="1223FA5B" w14:textId="613294DD"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id w:val="-1793428992"/>
              <w:placeholder>
                <w:docPart w:val="F85DD8D6419B43C49050422E87989C3E"/>
              </w:placeholder>
              <w:text/>
            </w:sdtPr>
            <w:sdtEndPr/>
            <w:sdtContent>
              <w:r w:rsidR="007D166E" w:rsidRPr="007D166E">
                <w:t>Vahi küla, Harku vald, Harjumaa 76903</w:t>
              </w:r>
            </w:sdtContent>
          </w:sdt>
        </w:sdtContent>
      </w:sdt>
    </w:p>
    <w:p w14:paraId="63DC6737" w14:textId="7489B521"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7D166E" w:rsidRPr="007D166E">
            <w:rPr>
              <w:color w:val="auto"/>
            </w:rPr>
            <w:t>5551</w:t>
          </w:r>
          <w:r w:rsidR="007D166E">
            <w:rPr>
              <w:color w:val="auto"/>
            </w:rPr>
            <w:t xml:space="preserve"> </w:t>
          </w:r>
          <w:r w:rsidR="007D166E" w:rsidRPr="007D166E">
            <w:rPr>
              <w:color w:val="auto"/>
            </w:rPr>
            <w:t>0718</w:t>
          </w:r>
        </w:sdtContent>
      </w:sdt>
    </w:p>
    <w:p w14:paraId="38B5A7BE" w14:textId="3FAA4856"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rPr>
            <w:rStyle w:val="Hperlink"/>
            <w:color w:val="0563C1" w:themeColor="hyperlink"/>
            <w:u w:val="single"/>
          </w:rPr>
        </w:sdtEndPr>
        <w:sdtContent>
          <w:r w:rsidR="007D166E" w:rsidRPr="007D166E">
            <w:rPr>
              <w:rStyle w:val="Hperlink"/>
            </w:rPr>
            <w:t>info@demontering.ee</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27145276" w14:textId="0232F419"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77CB1DF9" w14:textId="77777777" w:rsidR="00B0535C" w:rsidRDefault="00B0535C" w:rsidP="00F064EC">
      <w:pPr>
        <w:autoSpaceDE w:val="0"/>
        <w:autoSpaceDN w:val="0"/>
        <w:adjustRightInd w:val="0"/>
        <w:spacing w:after="0" w:line="240" w:lineRule="auto"/>
        <w:ind w:left="360"/>
        <w:jc w:val="both"/>
        <w:rPr>
          <w:rFonts w:ascii="Times New Roman" w:hAnsi="Times New Roman"/>
          <w:sz w:val="24"/>
          <w:szCs w:val="24"/>
        </w:rPr>
      </w:pPr>
    </w:p>
    <w:p w14:paraId="57F6DD9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lastRenderedPageBreak/>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610FE416" w:rsidR="00B63A16" w:rsidRPr="0099001E" w:rsidRDefault="00B2193A"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795C61">
            <w:rPr>
              <w:rFonts w:ascii="Times New Roman" w:hAnsi="Times New Roman"/>
              <w:sz w:val="24"/>
              <w:szCs w:val="24"/>
            </w:rPr>
            <w:t>Pakett 2 hinnaga kaheksakümmend (80)</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795C61">
            <w:rPr>
              <w:rFonts w:ascii="Times New Roman" w:hAnsi="Times New Roman"/>
              <w:sz w:val="24"/>
              <w:szCs w:val="24"/>
            </w:rPr>
            <w:t>nelikümmend viis (45) eurot kolme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40C13B1F" w:rsidR="005C2AA5" w:rsidRPr="00E4151C" w:rsidRDefault="00B2193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795C61">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795C61">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0D475BBC" w:rsidR="00B63A16" w:rsidRPr="00E4151C" w:rsidRDefault="00B2193A"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795C61">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068CC6BD" w:rsidR="00EB6EB7" w:rsidRPr="00E4151C" w:rsidRDefault="00B2193A"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0B0DCB33" w:rsidR="00B63A16" w:rsidRPr="00E4151C" w:rsidRDefault="00B2193A"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795C61">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B2193A"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3C5DDA">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Borders>
              <w:bottom w:val="single" w:sz="4" w:space="0" w:color="auto"/>
            </w:tcBorders>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3C5DDA">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Borders>
              <w:bottom w:val="single" w:sz="4" w:space="0" w:color="auto"/>
            </w:tcBorders>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4ED17A08" w:rsidR="00786C90" w:rsidRPr="00786C90" w:rsidRDefault="003C5DDA" w:rsidP="00786C90">
            <w:pPr>
              <w:spacing w:after="160" w:line="259" w:lineRule="auto"/>
              <w:rPr>
                <w:rFonts w:ascii="Times New Roman" w:eastAsiaTheme="minorHAnsi" w:hAnsi="Times New Roman" w:cstheme="minorBidi"/>
                <w:sz w:val="24"/>
                <w:szCs w:val="24"/>
              </w:rPr>
            </w:pPr>
            <w:r w:rsidRPr="00786C90">
              <w:rPr>
                <w:rFonts w:eastAsiaTheme="minorHAnsi" w:cstheme="minorBidi"/>
              </w:rPr>
              <w:t>VIN-kood</w:t>
            </w:r>
          </w:p>
        </w:tc>
      </w:tr>
      <w:tr w:rsidR="00EE139F" w:rsidRPr="009C1B12" w14:paraId="352A6C30" w14:textId="37BD4B9F" w:rsidTr="003C5DDA">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Borders>
              <w:right w:val="single" w:sz="4" w:space="0" w:color="auto"/>
            </w:tcBorders>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top w:val="single" w:sz="4" w:space="0" w:color="auto"/>
              <w:left w:val="single" w:sz="4" w:space="0" w:color="auto"/>
              <w:bottom w:val="nil"/>
              <w:right w:val="nil"/>
            </w:tcBorders>
          </w:tcPr>
          <w:p w14:paraId="740AF36B" w14:textId="57F5AD14" w:rsidR="00786C90" w:rsidRPr="00786C90" w:rsidRDefault="00786C90" w:rsidP="00786C90">
            <w:pPr>
              <w:pStyle w:val="Normaallaadveeb"/>
              <w:shd w:val="clear" w:color="auto" w:fill="FFFFFF"/>
              <w:spacing w:before="0" w:beforeAutospacing="0"/>
              <w:rPr>
                <w:rFonts w:eastAsiaTheme="minorHAnsi" w:cstheme="minorBidi"/>
                <w:lang w:eastAsia="en-US"/>
              </w:rPr>
            </w:pPr>
          </w:p>
        </w:tc>
      </w:tr>
      <w:tr w:rsidR="009C1B12" w:rsidRPr="009C1B12" w14:paraId="4839CFCE" w14:textId="77777777" w:rsidTr="003C5DDA">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1DEA7FE9" w14:textId="2B39173B"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3E14FD51" w14:textId="77777777" w:rsidTr="00795C61">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685FCBA9" w14:textId="483CF2A6"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795C61" w:rsidRDefault="00A00E2A" w:rsidP="00795C61">
      <w:pPr>
        <w:autoSpaceDE w:val="0"/>
        <w:autoSpaceDN w:val="0"/>
        <w:adjustRightInd w:val="0"/>
        <w:spacing w:before="240" w:line="240" w:lineRule="auto"/>
        <w:rPr>
          <w:rStyle w:val="Tugev"/>
          <w:color w:val="000000"/>
          <w:shd w:val="clear" w:color="auto" w:fill="FFFFFF"/>
        </w:rPr>
      </w:pPr>
    </w:p>
    <w:sectPr w:rsidR="00A00E2A" w:rsidRPr="00795C61" w:rsidSect="00795C61">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13A1F"/>
    <w:rsid w:val="0022235E"/>
    <w:rsid w:val="002264E2"/>
    <w:rsid w:val="00231DFE"/>
    <w:rsid w:val="00234737"/>
    <w:rsid w:val="00241A16"/>
    <w:rsid w:val="00261EC0"/>
    <w:rsid w:val="00262806"/>
    <w:rsid w:val="002715F2"/>
    <w:rsid w:val="00275402"/>
    <w:rsid w:val="00281658"/>
    <w:rsid w:val="002A17B8"/>
    <w:rsid w:val="002A2F2A"/>
    <w:rsid w:val="002A407E"/>
    <w:rsid w:val="002D2351"/>
    <w:rsid w:val="002D3084"/>
    <w:rsid w:val="002D5ACC"/>
    <w:rsid w:val="002E62D0"/>
    <w:rsid w:val="002F1CA9"/>
    <w:rsid w:val="0031268A"/>
    <w:rsid w:val="00330072"/>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C5DDA"/>
    <w:rsid w:val="003D2628"/>
    <w:rsid w:val="003D4542"/>
    <w:rsid w:val="003F31EE"/>
    <w:rsid w:val="00412C8A"/>
    <w:rsid w:val="00424B15"/>
    <w:rsid w:val="00425E8F"/>
    <w:rsid w:val="004550A0"/>
    <w:rsid w:val="00475D60"/>
    <w:rsid w:val="00480C4E"/>
    <w:rsid w:val="004862FA"/>
    <w:rsid w:val="00487A46"/>
    <w:rsid w:val="004A49CE"/>
    <w:rsid w:val="004B585E"/>
    <w:rsid w:val="004B7AA7"/>
    <w:rsid w:val="004E525E"/>
    <w:rsid w:val="004F0D48"/>
    <w:rsid w:val="0050245E"/>
    <w:rsid w:val="00506A43"/>
    <w:rsid w:val="00523941"/>
    <w:rsid w:val="00535152"/>
    <w:rsid w:val="0054452E"/>
    <w:rsid w:val="005748E7"/>
    <w:rsid w:val="0059365F"/>
    <w:rsid w:val="00595965"/>
    <w:rsid w:val="005A1876"/>
    <w:rsid w:val="005B2A89"/>
    <w:rsid w:val="005B2D43"/>
    <w:rsid w:val="005C2AA5"/>
    <w:rsid w:val="005D0AE6"/>
    <w:rsid w:val="00600895"/>
    <w:rsid w:val="006246B0"/>
    <w:rsid w:val="00631AB2"/>
    <w:rsid w:val="00633D9E"/>
    <w:rsid w:val="006351BD"/>
    <w:rsid w:val="00635D24"/>
    <w:rsid w:val="00651712"/>
    <w:rsid w:val="006633CC"/>
    <w:rsid w:val="00670551"/>
    <w:rsid w:val="00674BD9"/>
    <w:rsid w:val="00675934"/>
    <w:rsid w:val="00691525"/>
    <w:rsid w:val="006A27B0"/>
    <w:rsid w:val="006A3948"/>
    <w:rsid w:val="006B2CE7"/>
    <w:rsid w:val="006C4561"/>
    <w:rsid w:val="00710359"/>
    <w:rsid w:val="00724356"/>
    <w:rsid w:val="007273BB"/>
    <w:rsid w:val="007324AB"/>
    <w:rsid w:val="00742EE5"/>
    <w:rsid w:val="00745EDF"/>
    <w:rsid w:val="00746677"/>
    <w:rsid w:val="007841C6"/>
    <w:rsid w:val="00786C90"/>
    <w:rsid w:val="00795C61"/>
    <w:rsid w:val="007A027F"/>
    <w:rsid w:val="007C29F3"/>
    <w:rsid w:val="007C4C67"/>
    <w:rsid w:val="007D05C1"/>
    <w:rsid w:val="007D166E"/>
    <w:rsid w:val="007D1AB8"/>
    <w:rsid w:val="007D27BD"/>
    <w:rsid w:val="007D37CA"/>
    <w:rsid w:val="007E1133"/>
    <w:rsid w:val="007E766E"/>
    <w:rsid w:val="007F76C2"/>
    <w:rsid w:val="0080040B"/>
    <w:rsid w:val="00826933"/>
    <w:rsid w:val="00832EE8"/>
    <w:rsid w:val="00835E19"/>
    <w:rsid w:val="00837086"/>
    <w:rsid w:val="008602ED"/>
    <w:rsid w:val="00872304"/>
    <w:rsid w:val="0088269A"/>
    <w:rsid w:val="008A6C39"/>
    <w:rsid w:val="008D36BC"/>
    <w:rsid w:val="008E55DA"/>
    <w:rsid w:val="00930B7A"/>
    <w:rsid w:val="00952023"/>
    <w:rsid w:val="00973DF4"/>
    <w:rsid w:val="0099001E"/>
    <w:rsid w:val="009A01B8"/>
    <w:rsid w:val="009A34F1"/>
    <w:rsid w:val="009C1B12"/>
    <w:rsid w:val="009C4132"/>
    <w:rsid w:val="009C41A5"/>
    <w:rsid w:val="00A00E2A"/>
    <w:rsid w:val="00A0273B"/>
    <w:rsid w:val="00A1697B"/>
    <w:rsid w:val="00A30E6A"/>
    <w:rsid w:val="00A33CB4"/>
    <w:rsid w:val="00A37871"/>
    <w:rsid w:val="00A65037"/>
    <w:rsid w:val="00A92A9F"/>
    <w:rsid w:val="00A96FF4"/>
    <w:rsid w:val="00AB00D3"/>
    <w:rsid w:val="00AB0471"/>
    <w:rsid w:val="00AD3F80"/>
    <w:rsid w:val="00AE2DCB"/>
    <w:rsid w:val="00AF4644"/>
    <w:rsid w:val="00B010ED"/>
    <w:rsid w:val="00B04E35"/>
    <w:rsid w:val="00B0535C"/>
    <w:rsid w:val="00B135D0"/>
    <w:rsid w:val="00B21716"/>
    <w:rsid w:val="00B2193A"/>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A7A3D"/>
    <w:rsid w:val="00CD69EC"/>
    <w:rsid w:val="00CE0C55"/>
    <w:rsid w:val="00CE3E66"/>
    <w:rsid w:val="00CE6457"/>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220A0"/>
    <w:rsid w:val="00E2525B"/>
    <w:rsid w:val="00E30BB6"/>
    <w:rsid w:val="00E35EDD"/>
    <w:rsid w:val="00E4151C"/>
    <w:rsid w:val="00E4172F"/>
    <w:rsid w:val="00E52E01"/>
    <w:rsid w:val="00E62EA4"/>
    <w:rsid w:val="00EA3AEB"/>
    <w:rsid w:val="00EA68C9"/>
    <w:rsid w:val="00EB6EB7"/>
    <w:rsid w:val="00EC2588"/>
    <w:rsid w:val="00EC7FEA"/>
    <w:rsid w:val="00ED4AF6"/>
    <w:rsid w:val="00ED74EE"/>
    <w:rsid w:val="00EE139F"/>
    <w:rsid w:val="00EE35A2"/>
    <w:rsid w:val="00EE5AC0"/>
    <w:rsid w:val="00F01D53"/>
    <w:rsid w:val="00F048D2"/>
    <w:rsid w:val="00F064EC"/>
    <w:rsid w:val="00F1671C"/>
    <w:rsid w:val="00F24EB2"/>
    <w:rsid w:val="00F258AD"/>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603149602">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079138960">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en@demontering.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6C64C6673BB24B01B5FA4BE239FAF240"/>
        <w:category>
          <w:name w:val="Üldine"/>
          <w:gallery w:val="placeholder"/>
        </w:category>
        <w:types>
          <w:type w:val="bbPlcHdr"/>
        </w:types>
        <w:behaviors>
          <w:behavior w:val="content"/>
        </w:behaviors>
        <w:guid w:val="{061FFE04-90E6-45E3-85B4-523BF61A78A9}"/>
      </w:docPartPr>
      <w:docPartBody>
        <w:p w:rsidR="00693E03" w:rsidRDefault="00693E03" w:rsidP="00693E03">
          <w:pPr>
            <w:pStyle w:val="6C64C6673BB24B01B5FA4BE239FAF240"/>
          </w:pPr>
          <w:r w:rsidRPr="00A96FF4">
            <w:rPr>
              <w:rStyle w:val="Kohatitetekst"/>
              <w:highlight w:val="yellow"/>
            </w:rPr>
            <w:t>Ettevõtte nimi</w:t>
          </w:r>
        </w:p>
      </w:docPartBody>
    </w:docPart>
    <w:docPart>
      <w:docPartPr>
        <w:name w:val="368CF01DB3334F3CA34EB8B37046FF41"/>
        <w:category>
          <w:name w:val="Üldine"/>
          <w:gallery w:val="placeholder"/>
        </w:category>
        <w:types>
          <w:type w:val="bbPlcHdr"/>
        </w:types>
        <w:behaviors>
          <w:behavior w:val="content"/>
        </w:behaviors>
        <w:guid w:val="{A24855CE-365A-411E-AD6F-90F7BB763290}"/>
      </w:docPartPr>
      <w:docPartBody>
        <w:p w:rsidR="00693E03" w:rsidRDefault="00693E03" w:rsidP="00693E03">
          <w:pPr>
            <w:pStyle w:val="368CF01DB3334F3CA34EB8B37046FF41"/>
          </w:pPr>
          <w:r w:rsidRPr="00A96FF4">
            <w:rPr>
              <w:rStyle w:val="Kohatitetekst"/>
              <w:highlight w:val="yellow"/>
            </w:rPr>
            <w:t>reg. kood</w:t>
          </w:r>
        </w:p>
      </w:docPartBody>
    </w:docPart>
    <w:docPart>
      <w:docPartPr>
        <w:name w:val="F85DD8D6419B43C49050422E87989C3E"/>
        <w:category>
          <w:name w:val="Üldine"/>
          <w:gallery w:val="placeholder"/>
        </w:category>
        <w:types>
          <w:type w:val="bbPlcHdr"/>
        </w:types>
        <w:behaviors>
          <w:behavior w:val="content"/>
        </w:behaviors>
        <w:guid w:val="{C081660E-C037-4527-91BA-D91E5D1D416E}"/>
      </w:docPartPr>
      <w:docPartBody>
        <w:p w:rsidR="00693E03" w:rsidRDefault="00693E03" w:rsidP="00693E03">
          <w:pPr>
            <w:pStyle w:val="F85DD8D6419B43C49050422E87989C3E"/>
          </w:pPr>
          <w:r w:rsidRPr="00A96FF4">
            <w:rPr>
              <w:rStyle w:val="Kohatitetekst"/>
              <w:highlight w:val="yellow"/>
            </w:rPr>
            <w:t>aadress, indeks, linn</w:t>
          </w:r>
        </w:p>
      </w:docPartBody>
    </w:docPart>
    <w:docPart>
      <w:docPartPr>
        <w:name w:val="53A4550039FD44B5B11C07A2E2F41C1B"/>
        <w:category>
          <w:name w:val="Üldine"/>
          <w:gallery w:val="placeholder"/>
        </w:category>
        <w:types>
          <w:type w:val="bbPlcHdr"/>
        </w:types>
        <w:behaviors>
          <w:behavior w:val="content"/>
        </w:behaviors>
        <w:guid w:val="{E0D7DD38-08DB-4DEF-BA1B-3FCFCCA556A9}"/>
      </w:docPartPr>
      <w:docPartBody>
        <w:p w:rsidR="00693E03" w:rsidRDefault="00693E03" w:rsidP="00693E03">
          <w:pPr>
            <w:pStyle w:val="53A4550039FD44B5B11C07A2E2F41C1B"/>
          </w:pPr>
          <w:r w:rsidRPr="000929A4">
            <w:rPr>
              <w:rStyle w:val="Kohatitetekst"/>
              <w:highlight w:val="yellow"/>
            </w:rPr>
            <w:t>Telefoninumber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14F7F"/>
    <w:rsid w:val="0013021A"/>
    <w:rsid w:val="0014359C"/>
    <w:rsid w:val="0015700B"/>
    <w:rsid w:val="002C10A8"/>
    <w:rsid w:val="00306307"/>
    <w:rsid w:val="00311A00"/>
    <w:rsid w:val="00330072"/>
    <w:rsid w:val="00335516"/>
    <w:rsid w:val="00336885"/>
    <w:rsid w:val="003E4CFF"/>
    <w:rsid w:val="003F6C21"/>
    <w:rsid w:val="00401FA0"/>
    <w:rsid w:val="00515CBB"/>
    <w:rsid w:val="005B1359"/>
    <w:rsid w:val="005B20F7"/>
    <w:rsid w:val="006633CC"/>
    <w:rsid w:val="00693E03"/>
    <w:rsid w:val="006B26D1"/>
    <w:rsid w:val="007F62B9"/>
    <w:rsid w:val="008D6286"/>
    <w:rsid w:val="00976FF5"/>
    <w:rsid w:val="00AA3C17"/>
    <w:rsid w:val="00B831EA"/>
    <w:rsid w:val="00BC34AC"/>
    <w:rsid w:val="00C867FA"/>
    <w:rsid w:val="00D74536"/>
    <w:rsid w:val="00D92930"/>
    <w:rsid w:val="00DC088D"/>
    <w:rsid w:val="00EA3AEB"/>
    <w:rsid w:val="00F12A21"/>
    <w:rsid w:val="00F1671C"/>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693E03"/>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6C64C6673BB24B01B5FA4BE239FAF240">
    <w:name w:val="6C64C6673BB24B01B5FA4BE239FAF240"/>
    <w:rsid w:val="00693E03"/>
    <w:pPr>
      <w:spacing w:line="278" w:lineRule="auto"/>
    </w:pPr>
    <w:rPr>
      <w:sz w:val="24"/>
      <w:szCs w:val="24"/>
    </w:rPr>
  </w:style>
  <w:style w:type="paragraph" w:customStyle="1" w:styleId="368CF01DB3334F3CA34EB8B37046FF41">
    <w:name w:val="368CF01DB3334F3CA34EB8B37046FF41"/>
    <w:rsid w:val="00693E03"/>
    <w:pPr>
      <w:spacing w:line="278" w:lineRule="auto"/>
    </w:pPr>
    <w:rPr>
      <w:sz w:val="24"/>
      <w:szCs w:val="24"/>
    </w:rPr>
  </w:style>
  <w:style w:type="paragraph" w:customStyle="1" w:styleId="F85DD8D6419B43C49050422E87989C3E">
    <w:name w:val="F85DD8D6419B43C49050422E87989C3E"/>
    <w:rsid w:val="00693E03"/>
    <w:pPr>
      <w:spacing w:line="278" w:lineRule="auto"/>
    </w:pPr>
    <w:rPr>
      <w:sz w:val="24"/>
      <w:szCs w:val="24"/>
    </w:rPr>
  </w:style>
  <w:style w:type="paragraph" w:customStyle="1" w:styleId="53A4550039FD44B5B11C07A2E2F41C1B">
    <w:name w:val="53A4550039FD44B5B11C07A2E2F41C1B"/>
    <w:rsid w:val="00693E0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C911-1708-4E2B-B630-6C0DC19317A2}">
  <ds:schemaRefs>
    <ds:schemaRef ds:uri="http://schemas.microsoft.com/office/2006/documentManagement/types"/>
    <ds:schemaRef ds:uri="http://purl.org/dc/elements/1.1/"/>
    <ds:schemaRef ds:uri="http://schemas.microsoft.com/office/infopath/2007/PartnerControls"/>
    <ds:schemaRef ds:uri="00ad7483-47b0-434e-9f6c-b128bbe2d6bf"/>
    <ds:schemaRef ds:uri="http://schemas.openxmlformats.org/package/2006/metadata/core-properties"/>
    <ds:schemaRef ds:uri="86e7f227-dc89-4fcd-ab78-d87c1747d55b"/>
    <ds:schemaRef ds:uri="http://purl.org/dc/terms/"/>
    <ds:schemaRef ds:uri="http://schemas.microsoft.com/office/2006/metadata/properties"/>
    <ds:schemaRef ds:uri="ca1ab259-5ba5-4d68-b27d-dabc22a2d623"/>
    <ds:schemaRef ds:uri="http://www.w3.org/XML/1998/namespace"/>
    <ds:schemaRef ds:uri="http://purl.org/dc/dcmitype/"/>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2B617-DDB2-4EE5-9BBF-E454D328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2800</Words>
  <Characters>15960</Characters>
  <Application>Microsoft Office Word</Application>
  <DocSecurity>0</DocSecurity>
  <Lines>133</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3</cp:revision>
  <dcterms:created xsi:type="dcterms:W3CDTF">2025-02-13T10:48:00Z</dcterms:created>
  <dcterms:modified xsi:type="dcterms:W3CDTF">2025-02-14T07:17:00Z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